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B5E9" w14:textId="3BA99ECB" w:rsidR="00F94DD1" w:rsidRPr="00A068FE" w:rsidRDefault="00F94DD1" w:rsidP="00255A52">
      <w:pPr>
        <w:rPr>
          <w:rFonts w:ascii="標楷體" w:eastAsia="標楷體" w:hAnsi="標楷體" w:hint="eastAsia"/>
          <w:b/>
          <w:color w:val="0070C0"/>
          <w:sz w:val="26"/>
          <w:szCs w:val="26"/>
        </w:rPr>
      </w:pPr>
      <w:r w:rsidRPr="00F94DD1">
        <w:rPr>
          <w:rFonts w:ascii="標楷體" w:eastAsia="標楷體" w:hAnsi="標楷體"/>
          <w:b/>
          <w:color w:val="0070C0"/>
          <w:sz w:val="26"/>
          <w:szCs w:val="26"/>
        </w:rPr>
        <w:t>Guidelines for Faculty Research Incentives in the Department of Information Management, Chung Yuan Christian University</w:t>
      </w:r>
    </w:p>
    <w:p w14:paraId="53804499" w14:textId="77777777" w:rsidR="00A068FE" w:rsidRDefault="00F94DD1" w:rsidP="00A068FE">
      <w:pPr>
        <w:jc w:val="right"/>
        <w:rPr>
          <w:rFonts w:ascii="標楷體" w:eastAsia="標楷體" w:hAnsi="標楷體"/>
          <w:color w:val="000000" w:themeColor="text1"/>
          <w:sz w:val="20"/>
          <w:szCs w:val="26"/>
        </w:rPr>
      </w:pPr>
      <w:r w:rsidRPr="00A068FE">
        <w:rPr>
          <w:rFonts w:ascii="標楷體" w:eastAsia="標楷體" w:hAnsi="標楷體"/>
          <w:color w:val="000000" w:themeColor="text1"/>
          <w:sz w:val="20"/>
          <w:szCs w:val="26"/>
        </w:rPr>
        <w:t>by the Departmental Affairs Meeting</w:t>
      </w:r>
    </w:p>
    <w:p w14:paraId="49514595" w14:textId="77777777" w:rsidR="00A068FE" w:rsidRDefault="00F94DD1" w:rsidP="00A068FE">
      <w:pPr>
        <w:jc w:val="right"/>
        <w:rPr>
          <w:rFonts w:ascii="標楷體" w:eastAsia="標楷體" w:hAnsi="標楷體"/>
          <w:color w:val="000000" w:themeColor="text1"/>
          <w:sz w:val="20"/>
          <w:szCs w:val="26"/>
        </w:rPr>
      </w:pPr>
      <w:r w:rsidRPr="00A068FE">
        <w:rPr>
          <w:rFonts w:ascii="標楷體" w:eastAsia="標楷體" w:hAnsi="標楷體"/>
          <w:color w:val="000000" w:themeColor="text1"/>
          <w:sz w:val="20"/>
          <w:szCs w:val="26"/>
        </w:rPr>
        <w:t>on May 19, 2010</w:t>
      </w:r>
    </w:p>
    <w:p w14:paraId="35F3BA7E" w14:textId="4DE740B1" w:rsidR="002C1E4C" w:rsidRPr="00A068FE" w:rsidRDefault="00F94DD1" w:rsidP="00A068FE">
      <w:pPr>
        <w:jc w:val="right"/>
        <w:rPr>
          <w:rFonts w:ascii="標楷體" w:eastAsia="標楷體" w:hAnsi="標楷體"/>
          <w:color w:val="000000" w:themeColor="text1"/>
          <w:sz w:val="20"/>
          <w:szCs w:val="26"/>
        </w:rPr>
      </w:pPr>
      <w:r w:rsidRPr="00A068FE">
        <w:rPr>
          <w:rFonts w:ascii="標楷體" w:eastAsia="標楷體" w:hAnsi="標楷體"/>
          <w:color w:val="000000" w:themeColor="text1"/>
          <w:sz w:val="20"/>
          <w:szCs w:val="26"/>
        </w:rPr>
        <w:t>(Meeting No. 982-4)</w:t>
      </w:r>
    </w:p>
    <w:p w14:paraId="208A8BCD" w14:textId="3B34EFFC" w:rsidR="005B3353" w:rsidRPr="009D7A24" w:rsidRDefault="002C1E4C" w:rsidP="002C1E4C">
      <w:pPr>
        <w:pStyle w:val="a8"/>
        <w:numPr>
          <w:ilvl w:val="0"/>
          <w:numId w:val="9"/>
        </w:numPr>
        <w:ind w:leftChars="0"/>
        <w:rPr>
          <w:rFonts w:eastAsia="標楷體" w:cstheme="minorHAnsi"/>
          <w:szCs w:val="24"/>
        </w:rPr>
      </w:pPr>
      <w:r w:rsidRPr="009D7A24">
        <w:rPr>
          <w:rFonts w:eastAsia="標楷體" w:cstheme="minorHAnsi"/>
          <w:szCs w:val="24"/>
        </w:rPr>
        <w:t>Purpose:</w:t>
      </w:r>
    </w:p>
    <w:p w14:paraId="78E775C7" w14:textId="75E8E5AD" w:rsidR="002C1E4C" w:rsidRPr="009D7A24" w:rsidRDefault="002C1E4C" w:rsidP="002C1E4C">
      <w:pPr>
        <w:pStyle w:val="a8"/>
        <w:ind w:leftChars="0" w:left="360"/>
        <w:rPr>
          <w:rFonts w:cstheme="minorHAnsi"/>
          <w:szCs w:val="24"/>
        </w:rPr>
      </w:pPr>
      <w:r w:rsidRPr="009D7A24">
        <w:rPr>
          <w:rFonts w:cstheme="minorHAnsi"/>
          <w:szCs w:val="24"/>
        </w:rPr>
        <w:t>To encourage full-time faculty members of the department to engage in academic research and enhance the academic reputation of the department, these research incentive and subsidy guidelines are established.</w:t>
      </w:r>
    </w:p>
    <w:p w14:paraId="06FF237F" w14:textId="72C992EA" w:rsidR="009149C3" w:rsidRPr="009D7A24" w:rsidRDefault="009149C3" w:rsidP="009149C3">
      <w:pPr>
        <w:pStyle w:val="a8"/>
        <w:numPr>
          <w:ilvl w:val="0"/>
          <w:numId w:val="9"/>
        </w:numPr>
        <w:ind w:leftChars="0"/>
        <w:rPr>
          <w:rFonts w:eastAsia="標楷體" w:cstheme="minorHAnsi"/>
          <w:szCs w:val="24"/>
        </w:rPr>
      </w:pPr>
      <w:r w:rsidRPr="009D7A24">
        <w:rPr>
          <w:rFonts w:eastAsia="標楷體" w:cstheme="minorHAnsi"/>
          <w:szCs w:val="24"/>
        </w:rPr>
        <w:t>Eligibility:</w:t>
      </w:r>
    </w:p>
    <w:p w14:paraId="76EF0F81" w14:textId="0735D7BE" w:rsidR="008070D5" w:rsidRPr="009D7A24" w:rsidRDefault="008070D5" w:rsidP="008070D5">
      <w:pPr>
        <w:pStyle w:val="a8"/>
        <w:ind w:leftChars="0" w:left="360"/>
        <w:rPr>
          <w:rFonts w:cstheme="minorHAnsi"/>
          <w:szCs w:val="24"/>
        </w:rPr>
      </w:pPr>
      <w:r w:rsidRPr="009D7A24">
        <w:rPr>
          <w:rFonts w:cstheme="minorHAnsi"/>
          <w:szCs w:val="24"/>
        </w:rPr>
        <w:t>Full-time faculty members of the department conducting academic research under the department’s name may apply for incentives or subsidies as specified below.</w:t>
      </w:r>
    </w:p>
    <w:p w14:paraId="6E64172B" w14:textId="4C8EDFC1" w:rsidR="008070D5" w:rsidRPr="009D7A24" w:rsidRDefault="008070D5" w:rsidP="008070D5">
      <w:pPr>
        <w:pStyle w:val="a8"/>
        <w:numPr>
          <w:ilvl w:val="0"/>
          <w:numId w:val="9"/>
        </w:numPr>
        <w:ind w:leftChars="0"/>
        <w:rPr>
          <w:rFonts w:cstheme="minorHAnsi"/>
          <w:szCs w:val="24"/>
        </w:rPr>
      </w:pPr>
      <w:r w:rsidRPr="009D7A24">
        <w:rPr>
          <w:rFonts w:cstheme="minorHAnsi"/>
          <w:szCs w:val="24"/>
        </w:rPr>
        <w:t>Research Incentives:</w:t>
      </w:r>
    </w:p>
    <w:p w14:paraId="3BFC043D" w14:textId="77777777" w:rsidR="00377137" w:rsidRPr="009D7A24" w:rsidRDefault="00FF347C" w:rsidP="00377137">
      <w:pPr>
        <w:pStyle w:val="a8"/>
        <w:ind w:leftChars="0" w:left="360"/>
        <w:rPr>
          <w:rFonts w:cstheme="minorHAnsi"/>
          <w:szCs w:val="24"/>
        </w:rPr>
      </w:pPr>
      <w:r w:rsidRPr="009D7A24">
        <w:rPr>
          <w:rFonts w:cstheme="minorHAnsi"/>
          <w:szCs w:val="24"/>
        </w:rPr>
        <w:t>Incentives are granted for publishing papers in domestic and international journals. The application limit per faculty member is NT$25,000 per academic year.</w:t>
      </w:r>
    </w:p>
    <w:p w14:paraId="77F34681" w14:textId="245C80FE" w:rsidR="00377137" w:rsidRPr="009D7A24" w:rsidRDefault="00377137" w:rsidP="00377137">
      <w:pPr>
        <w:pStyle w:val="a8"/>
        <w:numPr>
          <w:ilvl w:val="0"/>
          <w:numId w:val="10"/>
        </w:numPr>
        <w:ind w:leftChars="0"/>
        <w:rPr>
          <w:rFonts w:cstheme="minorHAnsi"/>
          <w:szCs w:val="24"/>
        </w:rPr>
      </w:pPr>
      <w:r w:rsidRPr="009D7A24">
        <w:rPr>
          <w:rFonts w:cstheme="minorHAnsi"/>
          <w:szCs w:val="24"/>
        </w:rPr>
        <w:t xml:space="preserve">Papers published in SSCI, SCI-E, </w:t>
      </w:r>
      <w:proofErr w:type="spellStart"/>
      <w:r w:rsidRPr="009D7A24">
        <w:rPr>
          <w:rFonts w:cstheme="minorHAnsi"/>
          <w:szCs w:val="24"/>
        </w:rPr>
        <w:t>EconLit</w:t>
      </w:r>
      <w:proofErr w:type="spellEnd"/>
      <w:r w:rsidRPr="009D7A24">
        <w:rPr>
          <w:rFonts w:cstheme="minorHAnsi"/>
          <w:szCs w:val="24"/>
        </w:rPr>
        <w:t>, A&amp;HCI, TSSCI, or EI journals: NT$10,000 per paper.</w:t>
      </w:r>
    </w:p>
    <w:p w14:paraId="274FE3FD" w14:textId="77777777" w:rsidR="0086588E" w:rsidRDefault="00E81E48" w:rsidP="0086588E">
      <w:pPr>
        <w:pStyle w:val="a"/>
        <w:numPr>
          <w:ilvl w:val="0"/>
          <w:numId w:val="10"/>
        </w:numPr>
        <w:rPr>
          <w:sz w:val="24"/>
        </w:rPr>
      </w:pPr>
      <w:r w:rsidRPr="00E81E48">
        <w:rPr>
          <w:sz w:val="24"/>
        </w:rPr>
        <w:t>Papers published in peer-reviewed domestic and international academic journals: NT$5,000 per paper.</w:t>
      </w:r>
    </w:p>
    <w:p w14:paraId="195674A0" w14:textId="6CEEFC3F" w:rsidR="00545032" w:rsidRPr="0086588E" w:rsidRDefault="00545032" w:rsidP="0086588E">
      <w:pPr>
        <w:pStyle w:val="a"/>
        <w:numPr>
          <w:ilvl w:val="0"/>
          <w:numId w:val="10"/>
        </w:numPr>
        <w:rPr>
          <w:sz w:val="24"/>
        </w:rPr>
      </w:pPr>
      <w:r w:rsidRPr="0086588E">
        <w:rPr>
          <w:rFonts w:cstheme="minorHAnsi"/>
          <w:szCs w:val="24"/>
        </w:rPr>
        <w:t>Principles for Distributing Rewards:</w:t>
      </w:r>
    </w:p>
    <w:p w14:paraId="7D6A62EC" w14:textId="77777777" w:rsidR="00A02D19" w:rsidRPr="009D7A24" w:rsidRDefault="00A02D19" w:rsidP="00A02D19">
      <w:pPr>
        <w:pStyle w:val="a8"/>
        <w:numPr>
          <w:ilvl w:val="1"/>
          <w:numId w:val="10"/>
        </w:numPr>
        <w:ind w:leftChars="0"/>
        <w:rPr>
          <w:rFonts w:cstheme="minorHAnsi"/>
          <w:szCs w:val="24"/>
        </w:rPr>
      </w:pPr>
      <w:r w:rsidRPr="009D7A24">
        <w:rPr>
          <w:rFonts w:cstheme="minorHAnsi"/>
          <w:szCs w:val="24"/>
        </w:rPr>
        <w:t>If the applicant is the first or co</w:t>
      </w:r>
      <w:bookmarkStart w:id="0" w:name="_GoBack"/>
      <w:bookmarkEnd w:id="0"/>
      <w:r w:rsidRPr="009D7A24">
        <w:rPr>
          <w:rFonts w:cstheme="minorHAnsi"/>
          <w:szCs w:val="24"/>
        </w:rPr>
        <w:t>rresponding author of the paper, the full reward amount will be granted.</w:t>
      </w:r>
    </w:p>
    <w:p w14:paraId="17646050" w14:textId="77777777" w:rsidR="00F22F10" w:rsidRPr="009D7A24" w:rsidRDefault="00F22F10" w:rsidP="00F22F10">
      <w:pPr>
        <w:pStyle w:val="a8"/>
        <w:numPr>
          <w:ilvl w:val="1"/>
          <w:numId w:val="10"/>
        </w:numPr>
        <w:ind w:leftChars="0"/>
        <w:rPr>
          <w:rFonts w:cstheme="minorHAnsi"/>
          <w:szCs w:val="24"/>
        </w:rPr>
      </w:pPr>
      <w:r w:rsidRPr="009D7A24">
        <w:rPr>
          <w:rFonts w:cstheme="minorHAnsi"/>
          <w:szCs w:val="24"/>
        </w:rPr>
        <w:t>If the applicant is the second author, half of the reward amount will be granted. Other authors will receive one-third of the reward.</w:t>
      </w:r>
    </w:p>
    <w:p w14:paraId="167DE26B" w14:textId="6F312AE5" w:rsidR="00545032" w:rsidRPr="009D7A24" w:rsidRDefault="00F22F10" w:rsidP="00F22F10">
      <w:pPr>
        <w:pStyle w:val="a8"/>
        <w:numPr>
          <w:ilvl w:val="1"/>
          <w:numId w:val="10"/>
        </w:numPr>
        <w:ind w:leftChars="0"/>
        <w:rPr>
          <w:rFonts w:cstheme="minorHAnsi"/>
          <w:szCs w:val="24"/>
        </w:rPr>
      </w:pPr>
      <w:r w:rsidRPr="009D7A24">
        <w:rPr>
          <w:rFonts w:cstheme="minorHAnsi"/>
          <w:szCs w:val="24"/>
        </w:rPr>
        <w:t>For co-authored works among department faculty, only one application is allowed.</w:t>
      </w:r>
    </w:p>
    <w:p w14:paraId="0BCD5968" w14:textId="76E116D4" w:rsidR="00377137" w:rsidRPr="009D7A24" w:rsidRDefault="00F22F10" w:rsidP="008F1D39">
      <w:pPr>
        <w:pStyle w:val="a8"/>
        <w:numPr>
          <w:ilvl w:val="0"/>
          <w:numId w:val="10"/>
        </w:numPr>
        <w:ind w:leftChars="0"/>
        <w:rPr>
          <w:rFonts w:cstheme="minorHAnsi"/>
          <w:szCs w:val="24"/>
        </w:rPr>
      </w:pPr>
      <w:r w:rsidRPr="009D7A24">
        <w:rPr>
          <w:rFonts w:cstheme="minorHAnsi"/>
          <w:szCs w:val="24"/>
        </w:rPr>
        <w:t>Application Procedure:</w:t>
      </w:r>
      <w:r w:rsidR="008F1D39" w:rsidRPr="009D7A24">
        <w:rPr>
          <w:rFonts w:cstheme="minorHAnsi"/>
          <w:szCs w:val="24"/>
        </w:rPr>
        <w:t xml:space="preserve"> </w:t>
      </w:r>
      <w:r w:rsidRPr="009D7A24">
        <w:rPr>
          <w:rFonts w:cstheme="minorHAnsi"/>
          <w:szCs w:val="24"/>
        </w:rPr>
        <w:t xml:space="preserve">Applicants must complete the application form and attach relevant supporting documents. The application must be approved by the department chair before the reward is </w:t>
      </w:r>
      <w:proofErr w:type="spellStart"/>
      <w:proofErr w:type="gramStart"/>
      <w:r w:rsidRPr="009D7A24">
        <w:rPr>
          <w:rFonts w:cstheme="minorHAnsi"/>
          <w:szCs w:val="24"/>
        </w:rPr>
        <w:t>granted.Applications</w:t>
      </w:r>
      <w:proofErr w:type="spellEnd"/>
      <w:proofErr w:type="gramEnd"/>
      <w:r w:rsidRPr="009D7A24">
        <w:rPr>
          <w:rFonts w:cstheme="minorHAnsi"/>
          <w:szCs w:val="24"/>
        </w:rPr>
        <w:t xml:space="preserve"> must be submitted within six months of the paper's publication. Late applications will not be subsidized.</w:t>
      </w:r>
    </w:p>
    <w:p w14:paraId="03D10C72" w14:textId="77777777" w:rsidR="00C37451" w:rsidRPr="009D7A24" w:rsidRDefault="00473D31" w:rsidP="00C37451">
      <w:pPr>
        <w:pStyle w:val="a8"/>
        <w:numPr>
          <w:ilvl w:val="0"/>
          <w:numId w:val="9"/>
        </w:numPr>
        <w:ind w:leftChars="0"/>
        <w:rPr>
          <w:rFonts w:cstheme="minorHAnsi"/>
          <w:szCs w:val="24"/>
        </w:rPr>
      </w:pPr>
      <w:r w:rsidRPr="009D7A24">
        <w:rPr>
          <w:rFonts w:cstheme="minorHAnsi"/>
          <w:szCs w:val="24"/>
        </w:rPr>
        <w:t>Research Subsidies:</w:t>
      </w:r>
    </w:p>
    <w:p w14:paraId="7888C32A" w14:textId="112DD905" w:rsidR="00473D31" w:rsidRPr="009D7A24" w:rsidRDefault="00C37451" w:rsidP="00C37451">
      <w:pPr>
        <w:pStyle w:val="a8"/>
        <w:ind w:leftChars="0" w:left="360"/>
        <w:rPr>
          <w:rFonts w:cstheme="minorHAnsi"/>
          <w:color w:val="000000" w:themeColor="text1"/>
          <w:szCs w:val="24"/>
        </w:rPr>
      </w:pPr>
      <w:r w:rsidRPr="009D7A24">
        <w:rPr>
          <w:rFonts w:cstheme="minorHAnsi"/>
          <w:color w:val="000000" w:themeColor="text1"/>
          <w:szCs w:val="24"/>
        </w:rPr>
        <w:t>Research subsidies cover expenses such as submission review fees, language editing fees, conference attendance fees, or registration fees for international conferences (cannot be combined with subsidies from the National Science Council). The application limit per faculty member is NT$20,000 per academic year.</w:t>
      </w:r>
    </w:p>
    <w:p w14:paraId="7D330E28" w14:textId="77777777" w:rsidR="007F2D8F" w:rsidRPr="009D7A24" w:rsidRDefault="007F2D8F" w:rsidP="007F2D8F">
      <w:pPr>
        <w:pStyle w:val="a"/>
        <w:tabs>
          <w:tab w:val="clear" w:pos="360"/>
          <w:tab w:val="num" w:pos="840"/>
        </w:tabs>
        <w:ind w:leftChars="200" w:left="840"/>
        <w:rPr>
          <w:sz w:val="24"/>
          <w:szCs w:val="24"/>
        </w:rPr>
      </w:pPr>
      <w:r w:rsidRPr="009D7A24">
        <w:rPr>
          <w:sz w:val="24"/>
          <w:szCs w:val="24"/>
        </w:rPr>
        <w:lastRenderedPageBreak/>
        <w:t>All expenses must be reimbursed with official receipts or remittance slips issued by the organizing institution.</w:t>
      </w:r>
    </w:p>
    <w:p w14:paraId="26EB596A" w14:textId="5B4E40A6" w:rsidR="007F2D8F" w:rsidRPr="009D7A24" w:rsidRDefault="007F2D8F" w:rsidP="009D7A24">
      <w:pPr>
        <w:pStyle w:val="a"/>
        <w:tabs>
          <w:tab w:val="clear" w:pos="360"/>
          <w:tab w:val="num" w:pos="840"/>
        </w:tabs>
        <w:ind w:leftChars="200" w:left="840"/>
        <w:rPr>
          <w:sz w:val="24"/>
          <w:szCs w:val="24"/>
        </w:rPr>
      </w:pPr>
      <w:r w:rsidRPr="009D7A24">
        <w:rPr>
          <w:sz w:val="24"/>
          <w:szCs w:val="24"/>
        </w:rPr>
        <w:t>Unused quotas for the current academic year cannot be carried over to the next academic year.</w:t>
      </w:r>
    </w:p>
    <w:p w14:paraId="1F09FF04" w14:textId="54023629" w:rsidR="009D7A24" w:rsidRPr="009D7A24" w:rsidRDefault="009D7A24" w:rsidP="009D7A24">
      <w:pPr>
        <w:pStyle w:val="a"/>
        <w:numPr>
          <w:ilvl w:val="0"/>
          <w:numId w:val="9"/>
        </w:numPr>
        <w:rPr>
          <w:sz w:val="24"/>
          <w:szCs w:val="24"/>
        </w:rPr>
      </w:pPr>
      <w:r w:rsidRPr="009D7A24">
        <w:rPr>
          <w:sz w:val="24"/>
          <w:szCs w:val="24"/>
        </w:rPr>
        <w:t>To expedite compliance with AACSB requirements and encourage collaborative research, faculty members who produce work that improves the department's AQ standards will be granted NT$12,000 for each such publication. The principles for distribution remain the same, but this is exempt from the annual application limit.</w:t>
      </w:r>
    </w:p>
    <w:p w14:paraId="4AD34858" w14:textId="77777777" w:rsidR="00FD6EB9" w:rsidRPr="00FD6EB9" w:rsidRDefault="00FD6EB9" w:rsidP="00FD6EB9">
      <w:pPr>
        <w:pStyle w:val="a"/>
        <w:numPr>
          <w:ilvl w:val="0"/>
          <w:numId w:val="9"/>
        </w:numPr>
        <w:rPr>
          <w:sz w:val="24"/>
          <w:szCs w:val="24"/>
        </w:rPr>
      </w:pPr>
      <w:r w:rsidRPr="00FD6EB9">
        <w:rPr>
          <w:sz w:val="24"/>
          <w:szCs w:val="24"/>
        </w:rPr>
        <w:t>Miscellaneous:</w:t>
      </w:r>
    </w:p>
    <w:p w14:paraId="641306BB" w14:textId="268B2812" w:rsidR="009D7A24" w:rsidRDefault="00FD6EB9" w:rsidP="00FD6EB9">
      <w:pPr>
        <w:pStyle w:val="a"/>
        <w:numPr>
          <w:ilvl w:val="0"/>
          <w:numId w:val="0"/>
        </w:numPr>
        <w:ind w:left="360"/>
        <w:rPr>
          <w:sz w:val="24"/>
          <w:szCs w:val="24"/>
        </w:rPr>
      </w:pPr>
      <w:r w:rsidRPr="00FD6EB9">
        <w:rPr>
          <w:sz w:val="24"/>
          <w:szCs w:val="24"/>
        </w:rPr>
        <w:t>Reimbursement of all expenses under these guidelines must comply with university regulations. All submitted receipts must be approved by the university’s Accounting Office. Matters not specified herein shall be handled in accordance with relevant regulations.</w:t>
      </w:r>
    </w:p>
    <w:p w14:paraId="3E48552D" w14:textId="77777777" w:rsidR="00FD6EB9" w:rsidRPr="00FD6EB9" w:rsidRDefault="00FD6EB9" w:rsidP="00FD6EB9">
      <w:pPr>
        <w:pStyle w:val="a"/>
        <w:numPr>
          <w:ilvl w:val="0"/>
          <w:numId w:val="9"/>
        </w:numPr>
        <w:rPr>
          <w:sz w:val="24"/>
          <w:szCs w:val="24"/>
        </w:rPr>
      </w:pPr>
      <w:r w:rsidRPr="00FD6EB9">
        <w:rPr>
          <w:sz w:val="24"/>
          <w:szCs w:val="24"/>
        </w:rPr>
        <w:t>Implementation:</w:t>
      </w:r>
    </w:p>
    <w:p w14:paraId="438CF4AF" w14:textId="18D48524" w:rsidR="00FD6EB9" w:rsidRDefault="00FD6EB9" w:rsidP="006E1FBA">
      <w:pPr>
        <w:pStyle w:val="a"/>
        <w:numPr>
          <w:ilvl w:val="0"/>
          <w:numId w:val="0"/>
        </w:numPr>
        <w:ind w:left="360"/>
        <w:rPr>
          <w:sz w:val="24"/>
          <w:szCs w:val="24"/>
        </w:rPr>
      </w:pPr>
      <w:r w:rsidRPr="00FD6EB9">
        <w:rPr>
          <w:sz w:val="24"/>
          <w:szCs w:val="24"/>
        </w:rPr>
        <w:t>These incentive and subsidy guidelines apply starting August 1, 2010.</w:t>
      </w:r>
    </w:p>
    <w:p w14:paraId="2C046C41" w14:textId="78963ACF" w:rsidR="00EE5B84" w:rsidRPr="00FD6EB9" w:rsidRDefault="00EE5B84" w:rsidP="00EE5B84">
      <w:pPr>
        <w:pStyle w:val="a"/>
        <w:numPr>
          <w:ilvl w:val="0"/>
          <w:numId w:val="9"/>
        </w:numPr>
        <w:rPr>
          <w:rFonts w:hint="eastAsia"/>
          <w:sz w:val="24"/>
          <w:szCs w:val="24"/>
        </w:rPr>
      </w:pPr>
      <w:r w:rsidRPr="00EE5B84">
        <w:rPr>
          <w:sz w:val="24"/>
          <w:szCs w:val="24"/>
        </w:rPr>
        <w:t>Establishment and revisions of these guidelines must be approved by the Departmental Affairs Meeting and announced by the department chair for implementation.</w:t>
      </w:r>
    </w:p>
    <w:sectPr w:rsidR="00EE5B84" w:rsidRPr="00FD6EB9" w:rsidSect="007E6476">
      <w:pgSz w:w="11906" w:h="16838"/>
      <w:pgMar w:top="873" w:right="1797" w:bottom="873"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E8364" w14:textId="77777777" w:rsidR="00164110" w:rsidRDefault="00164110" w:rsidP="00984F21">
      <w:r>
        <w:separator/>
      </w:r>
    </w:p>
  </w:endnote>
  <w:endnote w:type="continuationSeparator" w:id="0">
    <w:p w14:paraId="30214707" w14:textId="77777777" w:rsidR="00164110" w:rsidRDefault="00164110" w:rsidP="0098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C00E" w14:textId="77777777" w:rsidR="00164110" w:rsidRDefault="00164110" w:rsidP="00984F21">
      <w:r>
        <w:separator/>
      </w:r>
    </w:p>
  </w:footnote>
  <w:footnote w:type="continuationSeparator" w:id="0">
    <w:p w14:paraId="420EFDA5" w14:textId="77777777" w:rsidR="00164110" w:rsidRDefault="00164110" w:rsidP="0098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6C05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6214BFF"/>
    <w:multiLevelType w:val="hybridMultilevel"/>
    <w:tmpl w:val="B19C1D7C"/>
    <w:lvl w:ilvl="0" w:tplc="1BB66026">
      <w:start w:val="1"/>
      <w:numFmt w:val="bullet"/>
      <w:lvlText w:val="˙"/>
      <w:lvlJc w:val="left"/>
      <w:pPr>
        <w:ind w:left="840" w:hanging="480"/>
      </w:pPr>
      <w:rPr>
        <w:rFonts w:ascii="標楷體" w:eastAsia="標楷體" w:hAnsi="標楷體" w:hint="eastAsia"/>
        <w:color w:val="auto"/>
      </w:rPr>
    </w:lvl>
    <w:lvl w:ilvl="1" w:tplc="04090009">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379B687D"/>
    <w:multiLevelType w:val="hybridMultilevel"/>
    <w:tmpl w:val="B9A0A28E"/>
    <w:lvl w:ilvl="0" w:tplc="2E20D2BA">
      <w:start w:val="1"/>
      <w:numFmt w:val="decimal"/>
      <w:lvlText w:val="%1."/>
      <w:lvlJc w:val="left"/>
      <w:pPr>
        <w:ind w:left="360" w:hanging="360"/>
      </w:pPr>
      <w:rPr>
        <w:rFonts w:asciiTheme="minorHAnsi" w:eastAsiaTheme="minorEastAsia" w:hAnsiTheme="min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463ED3"/>
    <w:multiLevelType w:val="hybridMultilevel"/>
    <w:tmpl w:val="26FE55AA"/>
    <w:lvl w:ilvl="0" w:tplc="569E64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6A04F8"/>
    <w:multiLevelType w:val="hybridMultilevel"/>
    <w:tmpl w:val="E5266256"/>
    <w:lvl w:ilvl="0" w:tplc="F272C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DA3C57"/>
    <w:multiLevelType w:val="hybridMultilevel"/>
    <w:tmpl w:val="65585740"/>
    <w:lvl w:ilvl="0" w:tplc="F272C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35EA6"/>
    <w:multiLevelType w:val="hybridMultilevel"/>
    <w:tmpl w:val="B2BA2C5C"/>
    <w:lvl w:ilvl="0" w:tplc="1BB66026">
      <w:start w:val="1"/>
      <w:numFmt w:val="bullet"/>
      <w:lvlText w:val="˙"/>
      <w:lvlJc w:val="left"/>
      <w:pPr>
        <w:ind w:left="840" w:hanging="480"/>
      </w:pPr>
      <w:rPr>
        <w:rFonts w:ascii="標楷體" w:eastAsia="標楷體" w:hAnsi="標楷體" w:hint="eastAsia"/>
        <w:color w:val="auto"/>
      </w:rPr>
    </w:lvl>
    <w:lvl w:ilvl="1" w:tplc="04090009">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638A697E"/>
    <w:multiLevelType w:val="hybridMultilevel"/>
    <w:tmpl w:val="A22A91EA"/>
    <w:lvl w:ilvl="0" w:tplc="1BB66026">
      <w:start w:val="1"/>
      <w:numFmt w:val="bullet"/>
      <w:lvlText w:val="˙"/>
      <w:lvlJc w:val="left"/>
      <w:pPr>
        <w:ind w:left="840" w:hanging="480"/>
      </w:pPr>
      <w:rPr>
        <w:rFonts w:ascii="標楷體" w:eastAsia="標楷體" w:hAnsi="標楷體" w:hint="eastAsia"/>
        <w:color w:val="auto"/>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69AD5043"/>
    <w:multiLevelType w:val="hybridMultilevel"/>
    <w:tmpl w:val="A9049688"/>
    <w:lvl w:ilvl="0" w:tplc="1BB66026">
      <w:start w:val="1"/>
      <w:numFmt w:val="bullet"/>
      <w:lvlText w:val="˙"/>
      <w:lvlJc w:val="left"/>
      <w:pPr>
        <w:ind w:left="480" w:hanging="480"/>
      </w:pPr>
      <w:rPr>
        <w:rFonts w:ascii="標楷體" w:eastAsia="標楷體" w:hAnsi="標楷體"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C0B1F58"/>
    <w:multiLevelType w:val="hybridMultilevel"/>
    <w:tmpl w:val="66322866"/>
    <w:lvl w:ilvl="0" w:tplc="1BB66026">
      <w:start w:val="1"/>
      <w:numFmt w:val="bullet"/>
      <w:lvlText w:val="˙"/>
      <w:lvlJc w:val="left"/>
      <w:pPr>
        <w:ind w:left="960" w:hanging="480"/>
      </w:pPr>
      <w:rPr>
        <w:rFonts w:ascii="標楷體" w:eastAsia="標楷體" w:hAnsi="標楷體" w:hint="eastAsia"/>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6F5F5F04"/>
    <w:multiLevelType w:val="hybridMultilevel"/>
    <w:tmpl w:val="F4560830"/>
    <w:lvl w:ilvl="0" w:tplc="F272C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934F84"/>
    <w:multiLevelType w:val="hybridMultilevel"/>
    <w:tmpl w:val="B0A683FE"/>
    <w:lvl w:ilvl="0" w:tplc="F272C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6"/>
  </w:num>
  <w:num w:numId="4">
    <w:abstractNumId w:val="8"/>
  </w:num>
  <w:num w:numId="5">
    <w:abstractNumId w:val="9"/>
  </w:num>
  <w:num w:numId="6">
    <w:abstractNumId w:val="11"/>
  </w:num>
  <w:num w:numId="7">
    <w:abstractNumId w:val="5"/>
  </w:num>
  <w:num w:numId="8">
    <w:abstractNumId w:val="2"/>
  </w:num>
  <w:num w:numId="9">
    <w:abstractNumId w:val="4"/>
  </w:num>
  <w:num w:numId="10">
    <w:abstractNumId w:val="1"/>
  </w:num>
  <w:num w:numId="11">
    <w:abstractNumId w:val="0"/>
    <w:lvlOverride w:ilv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E7"/>
    <w:rsid w:val="00082418"/>
    <w:rsid w:val="00164110"/>
    <w:rsid w:val="00255A52"/>
    <w:rsid w:val="002C1E4C"/>
    <w:rsid w:val="002F02CE"/>
    <w:rsid w:val="00377137"/>
    <w:rsid w:val="004522BE"/>
    <w:rsid w:val="00473D31"/>
    <w:rsid w:val="00545032"/>
    <w:rsid w:val="005A36B3"/>
    <w:rsid w:val="005B3353"/>
    <w:rsid w:val="005E5354"/>
    <w:rsid w:val="006E1FBA"/>
    <w:rsid w:val="00757ACE"/>
    <w:rsid w:val="007E6476"/>
    <w:rsid w:val="007F2D8F"/>
    <w:rsid w:val="008070D5"/>
    <w:rsid w:val="0086588E"/>
    <w:rsid w:val="008834A6"/>
    <w:rsid w:val="008F1D39"/>
    <w:rsid w:val="00910FCE"/>
    <w:rsid w:val="009149C3"/>
    <w:rsid w:val="00981BE2"/>
    <w:rsid w:val="00984F21"/>
    <w:rsid w:val="009D7A24"/>
    <w:rsid w:val="00A02D19"/>
    <w:rsid w:val="00A068FE"/>
    <w:rsid w:val="00B207F6"/>
    <w:rsid w:val="00B438BC"/>
    <w:rsid w:val="00B82D27"/>
    <w:rsid w:val="00C31FE7"/>
    <w:rsid w:val="00C37451"/>
    <w:rsid w:val="00C820C9"/>
    <w:rsid w:val="00D25C08"/>
    <w:rsid w:val="00E81E48"/>
    <w:rsid w:val="00ED6F87"/>
    <w:rsid w:val="00EE5B84"/>
    <w:rsid w:val="00F22F10"/>
    <w:rsid w:val="00F94DD1"/>
    <w:rsid w:val="00FD6EB9"/>
    <w:rsid w:val="00FF34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FC904"/>
  <w15:chartTrackingRefBased/>
  <w15:docId w15:val="{7FCE37DE-7945-40FB-9B6C-59FE4E83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paragraph" w:styleId="2">
    <w:name w:val="heading 2"/>
    <w:basedOn w:val="a0"/>
    <w:next w:val="a0"/>
    <w:link w:val="20"/>
    <w:uiPriority w:val="9"/>
    <w:semiHidden/>
    <w:unhideWhenUsed/>
    <w:qFormat/>
    <w:rsid w:val="002C1E4C"/>
    <w:pPr>
      <w:keepNext/>
      <w:keepLines/>
      <w:widowControl/>
      <w:spacing w:before="200" w:line="276" w:lineRule="auto"/>
      <w:outlineLvl w:val="1"/>
    </w:pPr>
    <w:rPr>
      <w:rFonts w:asciiTheme="majorHAnsi" w:eastAsiaTheme="majorEastAsia" w:hAnsiTheme="majorHAnsi" w:cstheme="majorBidi"/>
      <w:b/>
      <w:bCs/>
      <w:color w:val="4472C4" w:themeColor="accent1"/>
      <w:kern w:val="0"/>
      <w:sz w:val="26"/>
      <w:szCs w:val="26"/>
      <w:lang w:eastAsia="en-US"/>
    </w:rPr>
  </w:style>
  <w:style w:type="paragraph" w:styleId="3">
    <w:name w:val="heading 3"/>
    <w:basedOn w:val="a0"/>
    <w:next w:val="a0"/>
    <w:link w:val="30"/>
    <w:uiPriority w:val="9"/>
    <w:semiHidden/>
    <w:unhideWhenUsed/>
    <w:qFormat/>
    <w:rsid w:val="00545032"/>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84F21"/>
    <w:pPr>
      <w:tabs>
        <w:tab w:val="center" w:pos="4153"/>
        <w:tab w:val="right" w:pos="8306"/>
      </w:tabs>
      <w:snapToGrid w:val="0"/>
    </w:pPr>
    <w:rPr>
      <w:sz w:val="20"/>
      <w:szCs w:val="20"/>
    </w:rPr>
  </w:style>
  <w:style w:type="character" w:customStyle="1" w:styleId="a5">
    <w:name w:val="頁首 字元"/>
    <w:basedOn w:val="a1"/>
    <w:link w:val="a4"/>
    <w:uiPriority w:val="99"/>
    <w:rsid w:val="00984F21"/>
    <w:rPr>
      <w:sz w:val="20"/>
      <w:szCs w:val="20"/>
    </w:rPr>
  </w:style>
  <w:style w:type="paragraph" w:styleId="a6">
    <w:name w:val="footer"/>
    <w:basedOn w:val="a0"/>
    <w:link w:val="a7"/>
    <w:uiPriority w:val="99"/>
    <w:unhideWhenUsed/>
    <w:rsid w:val="00984F21"/>
    <w:pPr>
      <w:tabs>
        <w:tab w:val="center" w:pos="4153"/>
        <w:tab w:val="right" w:pos="8306"/>
      </w:tabs>
      <w:snapToGrid w:val="0"/>
    </w:pPr>
    <w:rPr>
      <w:sz w:val="20"/>
      <w:szCs w:val="20"/>
    </w:rPr>
  </w:style>
  <w:style w:type="character" w:customStyle="1" w:styleId="a7">
    <w:name w:val="頁尾 字元"/>
    <w:basedOn w:val="a1"/>
    <w:link w:val="a6"/>
    <w:uiPriority w:val="99"/>
    <w:rsid w:val="00984F21"/>
    <w:rPr>
      <w:sz w:val="20"/>
      <w:szCs w:val="20"/>
    </w:rPr>
  </w:style>
  <w:style w:type="paragraph" w:styleId="a8">
    <w:name w:val="List Paragraph"/>
    <w:basedOn w:val="a0"/>
    <w:uiPriority w:val="34"/>
    <w:qFormat/>
    <w:rsid w:val="008834A6"/>
    <w:pPr>
      <w:ind w:leftChars="200" w:left="480"/>
    </w:pPr>
  </w:style>
  <w:style w:type="character" w:customStyle="1" w:styleId="20">
    <w:name w:val="標題 2 字元"/>
    <w:basedOn w:val="a1"/>
    <w:link w:val="2"/>
    <w:uiPriority w:val="9"/>
    <w:semiHidden/>
    <w:rsid w:val="002C1E4C"/>
    <w:rPr>
      <w:rFonts w:asciiTheme="majorHAnsi" w:eastAsiaTheme="majorEastAsia" w:hAnsiTheme="majorHAnsi" w:cstheme="majorBidi"/>
      <w:b/>
      <w:bCs/>
      <w:color w:val="4472C4" w:themeColor="accent1"/>
      <w:kern w:val="0"/>
      <w:sz w:val="26"/>
      <w:szCs w:val="26"/>
      <w:lang w:eastAsia="en-US"/>
    </w:rPr>
  </w:style>
  <w:style w:type="paragraph" w:styleId="a">
    <w:name w:val="List Bullet"/>
    <w:basedOn w:val="a0"/>
    <w:uiPriority w:val="99"/>
    <w:unhideWhenUsed/>
    <w:rsid w:val="00377137"/>
    <w:pPr>
      <w:widowControl/>
      <w:numPr>
        <w:numId w:val="11"/>
      </w:numPr>
      <w:spacing w:after="200" w:line="276" w:lineRule="auto"/>
      <w:contextualSpacing/>
    </w:pPr>
    <w:rPr>
      <w:kern w:val="0"/>
      <w:sz w:val="22"/>
      <w:lang w:eastAsia="en-US"/>
    </w:rPr>
  </w:style>
  <w:style w:type="character" w:customStyle="1" w:styleId="30">
    <w:name w:val="標題 3 字元"/>
    <w:basedOn w:val="a1"/>
    <w:link w:val="3"/>
    <w:uiPriority w:val="9"/>
    <w:semiHidden/>
    <w:rsid w:val="0054503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7430">
      <w:bodyDiv w:val="1"/>
      <w:marLeft w:val="0"/>
      <w:marRight w:val="0"/>
      <w:marTop w:val="0"/>
      <w:marBottom w:val="0"/>
      <w:divBdr>
        <w:top w:val="none" w:sz="0" w:space="0" w:color="auto"/>
        <w:left w:val="none" w:sz="0" w:space="0" w:color="auto"/>
        <w:bottom w:val="none" w:sz="0" w:space="0" w:color="auto"/>
        <w:right w:val="none" w:sz="0" w:space="0" w:color="auto"/>
      </w:divBdr>
    </w:div>
    <w:div w:id="1088771190">
      <w:bodyDiv w:val="1"/>
      <w:marLeft w:val="0"/>
      <w:marRight w:val="0"/>
      <w:marTop w:val="0"/>
      <w:marBottom w:val="0"/>
      <w:divBdr>
        <w:top w:val="none" w:sz="0" w:space="0" w:color="auto"/>
        <w:left w:val="none" w:sz="0" w:space="0" w:color="auto"/>
        <w:bottom w:val="none" w:sz="0" w:space="0" w:color="auto"/>
        <w:right w:val="none" w:sz="0" w:space="0" w:color="auto"/>
      </w:divBdr>
    </w:div>
    <w:div w:id="1198738507">
      <w:bodyDiv w:val="1"/>
      <w:marLeft w:val="0"/>
      <w:marRight w:val="0"/>
      <w:marTop w:val="0"/>
      <w:marBottom w:val="0"/>
      <w:divBdr>
        <w:top w:val="none" w:sz="0" w:space="0" w:color="auto"/>
        <w:left w:val="none" w:sz="0" w:space="0" w:color="auto"/>
        <w:bottom w:val="none" w:sz="0" w:space="0" w:color="auto"/>
        <w:right w:val="none" w:sz="0" w:space="0" w:color="auto"/>
      </w:divBdr>
    </w:div>
    <w:div w:id="1255165733">
      <w:bodyDiv w:val="1"/>
      <w:marLeft w:val="0"/>
      <w:marRight w:val="0"/>
      <w:marTop w:val="0"/>
      <w:marBottom w:val="0"/>
      <w:divBdr>
        <w:top w:val="none" w:sz="0" w:space="0" w:color="auto"/>
        <w:left w:val="none" w:sz="0" w:space="0" w:color="auto"/>
        <w:bottom w:val="none" w:sz="0" w:space="0" w:color="auto"/>
        <w:right w:val="none" w:sz="0" w:space="0" w:color="auto"/>
      </w:divBdr>
    </w:div>
    <w:div w:id="1289823970">
      <w:bodyDiv w:val="1"/>
      <w:marLeft w:val="0"/>
      <w:marRight w:val="0"/>
      <w:marTop w:val="0"/>
      <w:marBottom w:val="0"/>
      <w:divBdr>
        <w:top w:val="none" w:sz="0" w:space="0" w:color="auto"/>
        <w:left w:val="none" w:sz="0" w:space="0" w:color="auto"/>
        <w:bottom w:val="none" w:sz="0" w:space="0" w:color="auto"/>
        <w:right w:val="none" w:sz="0" w:space="0" w:color="auto"/>
      </w:divBdr>
    </w:div>
    <w:div w:id="20271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鄭家瑋</dc:creator>
  <cp:keywords/>
  <dc:description/>
  <cp:lastModifiedBy>鄭家瑋</cp:lastModifiedBy>
  <cp:revision>3</cp:revision>
  <dcterms:created xsi:type="dcterms:W3CDTF">2024-12-25T03:59:00Z</dcterms:created>
  <dcterms:modified xsi:type="dcterms:W3CDTF">2024-12-25T08:01:00Z</dcterms:modified>
</cp:coreProperties>
</file>